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AF" w:rsidRDefault="00F47DAF" w:rsidP="00F47DAF">
      <w:pPr>
        <w:pStyle w:val="Rientrocorpodeltesto"/>
        <w:spacing w:after="0"/>
        <w:ind w:left="0"/>
        <w:jc w:val="both"/>
        <w:rPr>
          <w:rFonts w:ascii="Century Gothic" w:hAnsi="Century Gothic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797"/>
      </w:tblGrid>
      <w:tr w:rsidR="00F47DAF" w:rsidTr="00F47DAF">
        <w:tc>
          <w:tcPr>
            <w:tcW w:w="2376" w:type="dxa"/>
            <w:hideMark/>
          </w:tcPr>
          <w:p w:rsidR="00F47DAF" w:rsidRDefault="00F47DAF">
            <w:pPr>
              <w:spacing w:before="240" w:after="0"/>
              <w:ind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1438910" cy="1296035"/>
                  <wp:effectExtent l="0" t="0" r="8890" b="0"/>
                  <wp:docPr id="1" name="Immagine 1" descr="logo isrcnp_DLBianco2_4x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srcnp_DLBianco2_4x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hideMark/>
          </w:tcPr>
          <w:p w:rsidR="00F47DAF" w:rsidRDefault="00F47DAF">
            <w:pPr>
              <w:spacing w:before="240" w:after="0"/>
              <w:ind w:firstLine="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 w:val="28"/>
                <w:szCs w:val="28"/>
              </w:rPr>
              <w:t>Istituto Storico della Resistenza</w:t>
            </w:r>
            <w:r>
              <w:rPr>
                <w:rFonts w:ascii="Arial Narrow" w:hAnsi="Arial Narrow"/>
                <w:sz w:val="28"/>
                <w:szCs w:val="28"/>
              </w:rPr>
              <w:br/>
              <w:t xml:space="preserve"> e della Società Contemporanea in provincia di Cuneo</w:t>
            </w:r>
            <w:r>
              <w:rPr>
                <w:rFonts w:ascii="Arial Narrow" w:hAnsi="Arial Narrow"/>
                <w:sz w:val="28"/>
                <w:szCs w:val="28"/>
              </w:rPr>
              <w:br/>
            </w:r>
            <w:r>
              <w:rPr>
                <w:rFonts w:ascii="Arial Narrow" w:hAnsi="Arial Narrow"/>
                <w:i/>
                <w:sz w:val="28"/>
                <w:szCs w:val="28"/>
              </w:rPr>
              <w:t>Dante Livio Bianco</w:t>
            </w:r>
            <w:r>
              <w:rPr>
                <w:rFonts w:ascii="Arial Narrow" w:hAnsi="Arial Narrow"/>
                <w:i/>
                <w:sz w:val="28"/>
                <w:szCs w:val="28"/>
              </w:rPr>
              <w:br/>
            </w:r>
            <w:r>
              <w:rPr>
                <w:rFonts w:ascii="Arial Narrow" w:hAnsi="Arial Narrow"/>
                <w:szCs w:val="24"/>
              </w:rPr>
              <w:br/>
              <w:t>Largo Barale, 11 — 12100 CUNEO</w:t>
            </w:r>
          </w:p>
          <w:p w:rsidR="00F47DAF" w:rsidRDefault="00F47DAF">
            <w:pPr>
              <w:spacing w:after="0"/>
              <w:ind w:firstLine="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Wingdings" w:hAnsi="Wingdings"/>
                <w:szCs w:val="24"/>
              </w:rPr>
              <w:t></w:t>
            </w:r>
            <w:r>
              <w:rPr>
                <w:rFonts w:ascii="Arial Narrow" w:hAnsi="Arial Narrow"/>
                <w:szCs w:val="24"/>
              </w:rPr>
              <w:t xml:space="preserve"> 0171/444.835 — info@istitutoresistenzacuneo.it – www.istitutoresistenzacuneo.it</w:t>
            </w:r>
          </w:p>
          <w:p w:rsidR="00F47DAF" w:rsidRDefault="00F47DAF">
            <w:pPr>
              <w:spacing w:after="0"/>
              <w:ind w:firstLine="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codice fiscale 80017990047</w:t>
            </w:r>
          </w:p>
        </w:tc>
      </w:tr>
    </w:tbl>
    <w:p w:rsidR="00F47DAF" w:rsidRDefault="00F47DAF" w:rsidP="00F47DAF">
      <w:pPr>
        <w:spacing w:after="0"/>
        <w:ind w:firstLine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F47DAF" w:rsidRDefault="00F47DAF" w:rsidP="00F47DAF">
      <w:pPr>
        <w:spacing w:after="0"/>
        <w:ind w:firstLine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CALL FOR ARTICLES</w:t>
      </w:r>
    </w:p>
    <w:p w:rsidR="00F47DAF" w:rsidRDefault="00F47DAF" w:rsidP="00F47DAF">
      <w:pPr>
        <w:spacing w:after="0"/>
        <w:ind w:firstLine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F47DAF" w:rsidRDefault="00F47DAF" w:rsidP="00F47DAF">
      <w:pPr>
        <w:spacing w:after="0"/>
        <w:ind w:firstLine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“IL PRESENTE E LA STORIA”</w:t>
      </w:r>
      <w:bookmarkStart w:id="0" w:name="_GoBack"/>
      <w:bookmarkEnd w:id="0"/>
    </w:p>
    <w:p w:rsid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La rivista “Il presente e la storia” dell’Istituto storico della Resistenza e della società contemporanea in provincia di Cuneo, in preparazione del n. 103 (giugno 2023) invita docenti universitari, ricercatori, assegnisti di ricerca, dottori di ricerca e dottorandi, studiosi interessati a inviare contributi in italiano sul tema: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7DAF">
        <w:rPr>
          <w:rFonts w:ascii="Calibri" w:eastAsia="Calibri" w:hAnsi="Calibri"/>
          <w:b/>
          <w:sz w:val="22"/>
          <w:szCs w:val="22"/>
          <w:lang w:eastAsia="en-US"/>
        </w:rPr>
        <w:t>“</w:t>
      </w:r>
      <w:r w:rsidRPr="00F47D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Salute pubblica e pubblica sanità in Piemonte tra Ottocento e Novecento</w:t>
      </w:r>
    </w:p>
    <w:p w:rsidR="00F47DAF" w:rsidRPr="00F47DAF" w:rsidRDefault="00F47DAF" w:rsidP="00F47DAF">
      <w:pPr>
        <w:spacing w:after="0"/>
        <w:ind w:firstLine="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Malattie – Professioni – Istituzioni”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Premessa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La pandemia di Covid19 che la popolazione del pianeta e i governi </w:t>
      </w:r>
      <w:r>
        <w:rPr>
          <w:rFonts w:ascii="Calibri" w:eastAsia="Calibri" w:hAnsi="Calibri"/>
          <w:sz w:val="22"/>
          <w:szCs w:val="22"/>
          <w:lang w:eastAsia="en-US"/>
        </w:rPr>
        <w:t>si sono trovati a</w:t>
      </w: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fronteggiare negli ultimi anni ha riportato drammaticamente alla ribalta alcune tematiche che si credevano relegate al passato quali la sicurezza (o l’insicurezza) dei cittadini di fronte alla malattia o l’intervento dello Stato in materia di salute pubblica facendo emergere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inoltre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punti di forza e criticità del sistema sanitario nazionale.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Partendo da questo spunto si è pensato di dedicare un numero monografico de “Il presente e la storia” a una riflessione storica sul tema della salute e della gestione pubblica della stessa a partire dagli ultimi decenni dell’Ottocento </w:t>
      </w:r>
      <w:r>
        <w:rPr>
          <w:rFonts w:ascii="Calibri" w:eastAsia="Calibri" w:hAnsi="Calibri"/>
          <w:sz w:val="22"/>
          <w:szCs w:val="22"/>
          <w:lang w:eastAsia="en-US"/>
        </w:rPr>
        <w:t xml:space="preserve">fino </w:t>
      </w:r>
      <w:r w:rsidRPr="00F47DAF">
        <w:rPr>
          <w:rFonts w:ascii="Calibri" w:eastAsia="Calibri" w:hAnsi="Calibri"/>
          <w:sz w:val="22"/>
          <w:szCs w:val="22"/>
          <w:lang w:eastAsia="en-US"/>
        </w:rPr>
        <w:t>a tutto il periodo fascista.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>Punto 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’avvio</w:t>
      </w:r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è la situazione critica dell’Italia ancora a fine Ottocento quando le condizioni sanitarie degli italiani risentivano di carenze e arretratezze che i governi postunitari non erano riusciti a risolvere. Con una mortalità infantile elevatissima e a fronte di un’aspettativa di vita di 55 anni circa malattie quali la malaria, la tubercolosi, la sifilide erano diffusi in tutto il Paese mentre la malnutrizione faceva sì che rachitismo e pellagra fossero piaghe croniche soprattutto in alcuni territori. Epidemie di vaiolo, tifo e difterite colpivano ciclicamente la popolazione. Nel 1887, appena diventato Presidente del Consiglio, Francesco </w:t>
      </w:r>
      <w:proofErr w:type="spellStart"/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>Crispi</w:t>
      </w:r>
      <w:proofErr w:type="spellEnd"/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mise mano alla complessa materia sanitaria facendosi affiancare dal medico epidemiologo professor Luigi </w:t>
      </w:r>
      <w:proofErr w:type="spellStart"/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>Pagliani</w:t>
      </w:r>
      <w:proofErr w:type="spellEnd"/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La legge </w:t>
      </w:r>
      <w:proofErr w:type="spellStart"/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>Crispi-Pagliani</w:t>
      </w:r>
      <w:proofErr w:type="spellEnd"/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rivoluzionò il sistema sanitario dal punto di vista dell’assistenza medica, dell’igiene pubblica, istituendo la vaccinazione obbligatoria, uffici preposti e figure professionali quali ostetriche, medici provinciali e medici condotti, in un sistema piramidale che implicava un continuo scambio di informazione tra la base e il vertice.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riforma non risolse tutti i problemi sanitari del paese, ma contribuì al miglioramento e alla modernizzazione del Paese dal punto di vista sanitario. 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>Al termine della Prima guerra mondiale l’epidemia di spagnola del 1918 falcidiò la popolazione mondiale lasciando scarse tracce nei documenti. Più tardi i</w:t>
      </w:r>
      <w:r w:rsidRPr="00F47DAF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l regime fascista inquadrerà l’assistenza sanitaria in un progetto di ampia portata introducendo istituzioni alcune delle quali tuttora esistenti. 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lastRenderedPageBreak/>
        <w:t>Obiettivi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Il numero monografico che si intende costruire vorrebbe offrire un’ampia panoramica della società piemontese tra gli ultimi decenni dell’Ottocento e la metà del Novecento vista attraverso la lente del rapporto salute/malattia alla luce delle riforme che a partire da fine Ottocento andarono a costruire il sistema sanitario nazionale.     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I temi trattati nei saggi dovrebbero tenere conto di questa premessa e, c</w:t>
      </w:r>
      <w:r w:rsidRPr="00F47DAF">
        <w:rPr>
          <w:rFonts w:ascii="Calibri" w:eastAsia="Calibri" w:hAnsi="Calibri"/>
          <w:sz w:val="22"/>
          <w:szCs w:val="22"/>
          <w:u w:val="single"/>
          <w:lang w:eastAsia="en-US"/>
        </w:rPr>
        <w:t>onsiderato il legame della rivista con l’Istituto di cui è espressione e con il territorio a cui fa riferimento (la provincia di Cuneo) saranno particolarmente apprezzati contributi che, partendo da un contesto generale, fa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>rann</w:t>
      </w:r>
      <w:r w:rsidRPr="00F47DAF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o riferimento a realtà locali. 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I contributi potranno concernere le seguenti tematiche in una prospettiva storica, ma non necessariamente limitarsi ad esse: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Legislazione e riforme: ricadute locali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Istituzioni sanitarie: nosocomi, cliniche, ospedali psichiatrici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Figure professionali: medici condotti, medici provinciali, levatrici, farmacisti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Biografie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La spagnola e altre epidemie;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La medicina tradizionale e popolare: antichi </w:t>
      </w:r>
      <w:proofErr w:type="spellStart"/>
      <w:r w:rsidRPr="00F47DAF">
        <w:rPr>
          <w:rFonts w:ascii="Calibri" w:eastAsia="Calibri" w:hAnsi="Calibri"/>
          <w:sz w:val="22"/>
          <w:szCs w:val="22"/>
          <w:lang w:eastAsia="en-US"/>
        </w:rPr>
        <w:t>saperi</w:t>
      </w:r>
      <w:proofErr w:type="spellEnd"/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e antiche cure 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Malattie sociali e malattie professionali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Malattie endemiche: </w:t>
      </w:r>
      <w:proofErr w:type="spellStart"/>
      <w:r w:rsidRPr="00F47DAF">
        <w:rPr>
          <w:rFonts w:ascii="Calibri" w:eastAsia="Calibri" w:hAnsi="Calibri"/>
          <w:sz w:val="22"/>
          <w:szCs w:val="22"/>
          <w:lang w:eastAsia="en-US"/>
        </w:rPr>
        <w:t>gozzismo</w:t>
      </w:r>
      <w:proofErr w:type="spellEnd"/>
      <w:r w:rsidRPr="00F47DAF">
        <w:rPr>
          <w:rFonts w:ascii="Calibri" w:eastAsia="Calibri" w:hAnsi="Calibri"/>
          <w:sz w:val="22"/>
          <w:szCs w:val="22"/>
          <w:lang w:eastAsia="en-US"/>
        </w:rPr>
        <w:t>, cretinismo, pellagra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Le malattie della guerra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La malattia mentale e la psichiatria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La lotta alle malattie: poliomielite, tubercolosi, sifilide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Gli organismi per la tutela dei cittadini: casse mutue, enti </w:t>
      </w:r>
    </w:p>
    <w:p w:rsidR="00F47DAF" w:rsidRPr="00F47DAF" w:rsidRDefault="00F47DAF" w:rsidP="00F47DAF">
      <w:pPr>
        <w:numPr>
          <w:ilvl w:val="0"/>
          <w:numId w:val="2"/>
        </w:numPr>
        <w:spacing w:after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>Fonti per lo studio della storia della medicina</w:t>
      </w:r>
    </w:p>
    <w:p w:rsidR="00F47DAF" w:rsidRPr="00F47DAF" w:rsidRDefault="00F47DAF" w:rsidP="00F47DAF">
      <w:pPr>
        <w:ind w:left="72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Invitiamo pertanto a spedirci un </w:t>
      </w:r>
      <w:proofErr w:type="spellStart"/>
      <w:r w:rsidRPr="00F47DAF">
        <w:rPr>
          <w:rFonts w:ascii="Calibri" w:eastAsia="Calibri" w:hAnsi="Calibri"/>
          <w:sz w:val="22"/>
          <w:szCs w:val="22"/>
          <w:lang w:eastAsia="en-US"/>
        </w:rPr>
        <w:t>abstract</w:t>
      </w:r>
      <w:proofErr w:type="spellEnd"/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in italiano di massimo 2000 battute all’indirizzo biblio@istitutoresistenzacuneo.it entro il 1° settembre 2022.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Dopo la selezione degli </w:t>
      </w:r>
      <w:proofErr w:type="spellStart"/>
      <w:r w:rsidRPr="00F47DAF">
        <w:rPr>
          <w:rFonts w:ascii="Calibri" w:eastAsia="Calibri" w:hAnsi="Calibri"/>
          <w:sz w:val="22"/>
          <w:szCs w:val="22"/>
          <w:lang w:eastAsia="en-US"/>
        </w:rPr>
        <w:t>abstract</w:t>
      </w:r>
      <w:proofErr w:type="spellEnd"/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 da parte della Redazione, gli autori saranno invitati a presentare gli articoli in italiano la cui lunghezza sarà compresa tra le 20.000 e le 60.000 battute (spazi inclusi). I saggi dovranno tenere conto delle note redazionali della rivista che verranno inviate agli autori.    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F47DAF">
        <w:rPr>
          <w:rFonts w:ascii="Calibri" w:eastAsia="Calibri" w:hAnsi="Calibri"/>
          <w:sz w:val="22"/>
          <w:szCs w:val="22"/>
          <w:lang w:eastAsia="en-US"/>
        </w:rPr>
        <w:t xml:space="preserve">La scadenza ultima per la presentazione degli articoli sarà il 30 aprile 2023.   </w:t>
      </w: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jc w:val="both"/>
        <w:rPr>
          <w:rFonts w:ascii="Verdana" w:hAnsi="Verdana"/>
          <w:sz w:val="22"/>
          <w:szCs w:val="24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Bidi"/>
          <w:sz w:val="22"/>
          <w:szCs w:val="22"/>
          <w:lang w:eastAsia="en-US"/>
        </w:rPr>
        <w:t>BREVE BIBLIOGRAFIA DI RIFERIMENTO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F. Della </w:t>
      </w:r>
      <w:proofErr w:type="spellStart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Peruta</w:t>
      </w:r>
      <w:proofErr w:type="spellEnd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Malattia e medicina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. Storia d’Italia. Annali 7. Einaudi, 1984.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G. </w:t>
      </w:r>
      <w:proofErr w:type="spellStart"/>
      <w:r w:rsidRPr="00F47DAF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Cosmacini</w:t>
      </w:r>
      <w:proofErr w:type="spellEnd"/>
      <w:r w:rsidRPr="00F47DAF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, </w:t>
      </w:r>
      <w:r w:rsidRPr="00F47DAF">
        <w:rPr>
          <w:rFonts w:asciiTheme="minorHAnsi" w:eastAsiaTheme="minorHAnsi" w:hAnsiTheme="minorHAnsi" w:cstheme="minorHAnsi"/>
          <w:i/>
          <w:color w:val="333333"/>
          <w:sz w:val="22"/>
          <w:szCs w:val="22"/>
          <w:lang w:eastAsia="en-US"/>
        </w:rPr>
        <w:t>Storia della medicina e della sanità in Italia. Dalla peste nera ai giorni nostri</w:t>
      </w:r>
      <w:r w:rsidRPr="00F47DAF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, Roma, Bari, GLF editori Laterza, 2005.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A.G. Ricci e Marisa </w:t>
      </w:r>
      <w:proofErr w:type="spellStart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Montevecchi</w:t>
      </w:r>
      <w:proofErr w:type="spellEnd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Francesco </w:t>
      </w:r>
      <w:proofErr w:type="spellStart"/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Crispi</w:t>
      </w:r>
      <w:proofErr w:type="spellEnd"/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.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Costruire lo Stato per dare forma alla Nazione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 Roma, Ministero per i Beni e le attività culturali. Direzione generale per gli archivi, 2009.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R. </w:t>
      </w:r>
      <w:proofErr w:type="spellStart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Cea</w:t>
      </w:r>
      <w:proofErr w:type="spellEnd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Il governo della salute nell’Italia liberale. Stato, igiene e politiche sanitarie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 Milano, Franco Angeli, 2019.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A. Prosperi, </w:t>
      </w: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Un volgo disperso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 Einaudi, 2021.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B. </w:t>
      </w:r>
      <w:proofErr w:type="spellStart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Maffiodo</w:t>
      </w:r>
      <w:proofErr w:type="spellEnd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La "medicina delle passioni" nel Piemonte ottocentesco (1812-1859)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 Fondazione Camillo Cavour, Santena 1986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B. </w:t>
      </w:r>
      <w:proofErr w:type="spellStart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Maffiodo</w:t>
      </w:r>
      <w:proofErr w:type="spellEnd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 </w:t>
      </w:r>
      <w:r w:rsidRPr="00F47DAF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I Borghesi Taumaturghi. Medici, cultura scientifica e società in Piemonte fra crisi dell’antico regime ed età napoleonica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 Fondazione Luigi Firpo. Centro di studi sul pensiero politico - Studi e testi, vol. 6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 Firenze, </w:t>
      </w:r>
      <w:proofErr w:type="spellStart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Olschki</w:t>
      </w:r>
      <w:proofErr w:type="spellEnd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 1996.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M. Nano, </w:t>
      </w:r>
      <w:r w:rsidRPr="00F47DAF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La Chirurgia in Piemonte. Storia di una Scienza e di una Regione</w:t>
      </w:r>
      <w:r w:rsidRPr="00F47DA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 Ed. Minerva Medica, 2021.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U. </w:t>
      </w:r>
      <w:proofErr w:type="spellStart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Levra</w:t>
      </w:r>
      <w:proofErr w:type="spellEnd"/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Torino "città malata</w:t>
      </w:r>
      <w:proofErr w:type="gramStart"/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"?,</w:t>
      </w:r>
      <w:proofErr w:type="gramEnd"/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Premessa a Malati, follia e criminali nella Torino Carlo-albertina</w:t>
      </w:r>
      <w:r w:rsidRPr="00F47DAF">
        <w:rPr>
          <w:rFonts w:asciiTheme="minorHAnsi" w:eastAsiaTheme="minorHAnsi" w:hAnsiTheme="minorHAnsi" w:cstheme="minorHAnsi"/>
          <w:sz w:val="22"/>
          <w:szCs w:val="22"/>
          <w:lang w:eastAsia="en-US"/>
        </w:rPr>
        <w:t>, in “Rivista di Storia Contemporanea”, n.3, luglio 1982</w:t>
      </w:r>
    </w:p>
    <w:p w:rsid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F47DA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Cuneo, 1 giugno 2022</w:t>
      </w: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7DAF" w:rsidRPr="00F47DAF" w:rsidRDefault="00F47DAF" w:rsidP="00F47DAF">
      <w:pPr>
        <w:spacing w:after="0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269E" w:rsidRDefault="00A3269E"/>
    <w:p w:rsidR="00F47DAF" w:rsidRDefault="00F47DAF"/>
    <w:p w:rsidR="00F47DAF" w:rsidRDefault="00F47DAF" w:rsidP="00F47DAF">
      <w:pPr>
        <w:ind w:firstLine="0"/>
      </w:pPr>
    </w:p>
    <w:sectPr w:rsidR="00F47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87FD0"/>
    <w:multiLevelType w:val="hybridMultilevel"/>
    <w:tmpl w:val="55505778"/>
    <w:lvl w:ilvl="0" w:tplc="67EC2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F"/>
    <w:rsid w:val="0008145E"/>
    <w:rsid w:val="002353AF"/>
    <w:rsid w:val="00246D8B"/>
    <w:rsid w:val="005A0751"/>
    <w:rsid w:val="00615003"/>
    <w:rsid w:val="00675E99"/>
    <w:rsid w:val="00796A9B"/>
    <w:rsid w:val="00A3269E"/>
    <w:rsid w:val="00E96139"/>
    <w:rsid w:val="00EC0770"/>
    <w:rsid w:val="00F422EC"/>
    <w:rsid w:val="00F47DAF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463D"/>
  <w15:chartTrackingRefBased/>
  <w15:docId w15:val="{C1DA89CB-CEF9-4EE4-963B-99695A9D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7DAF"/>
    <w:pPr>
      <w:spacing w:after="240"/>
      <w:ind w:firstLine="709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F47DAF"/>
    <w:pPr>
      <w:spacing w:after="120"/>
      <w:ind w:left="283" w:firstLine="0"/>
    </w:pPr>
    <w:rPr>
      <w:rFonts w:ascii="Verdana" w:hAnsi="Verdana"/>
      <w:sz w:val="22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47DAF"/>
    <w:rPr>
      <w:rFonts w:ascii="Verdana" w:eastAsia="Times New Roman" w:hAnsi="Verdana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Demichelis Alessandra</dc:creator>
  <cp:keywords/>
  <dc:description/>
  <cp:lastModifiedBy>Demichelis Alessandra</cp:lastModifiedBy>
  <cp:revision>1</cp:revision>
  <dcterms:created xsi:type="dcterms:W3CDTF">2022-06-01T07:35:00Z</dcterms:created>
  <dcterms:modified xsi:type="dcterms:W3CDTF">2022-06-01T07:41:00Z</dcterms:modified>
</cp:coreProperties>
</file>